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78" w:rsidRDefault="00247278"/>
    <w:p w:rsidR="00656C31" w:rsidRDefault="00656C31">
      <w:r>
        <w:t>Aanpassingen Prescriptor December 2018</w:t>
      </w:r>
    </w:p>
    <w:p w:rsidR="00656C31" w:rsidRPr="001E46DD" w:rsidRDefault="00656C31" w:rsidP="00656C31">
      <w:pPr>
        <w:rPr>
          <w:b/>
          <w:sz w:val="18"/>
          <w:szCs w:val="18"/>
          <w:u w:val="single"/>
        </w:rPr>
      </w:pPr>
      <w:r w:rsidRPr="001E46DD">
        <w:rPr>
          <w:b/>
          <w:sz w:val="18"/>
          <w:szCs w:val="18"/>
          <w:u w:val="single"/>
        </w:rPr>
        <w:t>Tabel 1: Wijzigingen Prescriptor</w:t>
      </w:r>
      <w:r>
        <w:rPr>
          <w:b/>
          <w:sz w:val="18"/>
          <w:szCs w:val="18"/>
          <w:u w:val="single"/>
        </w:rP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513"/>
        <w:gridCol w:w="4562"/>
        <w:gridCol w:w="1701"/>
      </w:tblGrid>
      <w:tr w:rsidR="00656C31" w:rsidTr="00721248">
        <w:tc>
          <w:tcPr>
            <w:tcW w:w="3513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Welke vraag is binnengekomen</w:t>
            </w:r>
          </w:p>
        </w:tc>
        <w:tc>
          <w:tcPr>
            <w:tcW w:w="4562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Aanpassingen?  </w:t>
            </w:r>
            <w:r w:rsidRPr="005510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56C31" w:rsidRPr="005510C3" w:rsidRDefault="00656C31" w:rsidP="00721248">
            <w:pPr>
              <w:rPr>
                <w:b/>
                <w:sz w:val="18"/>
                <w:szCs w:val="18"/>
              </w:rPr>
            </w:pPr>
            <w:r w:rsidRPr="005510C3">
              <w:rPr>
                <w:b/>
                <w:sz w:val="18"/>
                <w:szCs w:val="18"/>
              </w:rPr>
              <w:t>Datum aanpassing</w:t>
            </w:r>
          </w:p>
        </w:tc>
      </w:tr>
      <w:tr w:rsidR="00656C31" w:rsidTr="00721248">
        <w:tc>
          <w:tcPr>
            <w:tcW w:w="3513" w:type="dxa"/>
          </w:tcPr>
          <w:p w:rsidR="00656C31" w:rsidRDefault="00656C31" w:rsidP="0072124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66FDF">
              <w:rPr>
                <w:sz w:val="18"/>
                <w:szCs w:val="18"/>
              </w:rPr>
              <w:t xml:space="preserve">Bij D10 ook de metoclopramide zetpillen (staat ook in de </w:t>
            </w:r>
            <w:proofErr w:type="spellStart"/>
            <w:r w:rsidRPr="00A66FDF">
              <w:rPr>
                <w:sz w:val="18"/>
                <w:szCs w:val="18"/>
              </w:rPr>
              <w:t>Nhg</w:t>
            </w:r>
            <w:proofErr w:type="spellEnd"/>
            <w:r w:rsidRPr="00A66FDF">
              <w:rPr>
                <w:sz w:val="18"/>
                <w:szCs w:val="18"/>
              </w:rPr>
              <w:t xml:space="preserve"> )</w:t>
            </w:r>
          </w:p>
        </w:tc>
        <w:tc>
          <w:tcPr>
            <w:tcW w:w="4562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proofErr w:type="spellStart"/>
            <w:r w:rsidRPr="00656C31">
              <w:rPr>
                <w:sz w:val="18"/>
                <w:szCs w:val="18"/>
              </w:rPr>
              <w:t>Metroclopramide</w:t>
            </w:r>
            <w:proofErr w:type="spellEnd"/>
            <w:r w:rsidRPr="00656C31">
              <w:rPr>
                <w:sz w:val="18"/>
                <w:szCs w:val="18"/>
              </w:rPr>
              <w:t xml:space="preserve"> zetpillen bij D10 toevoegen. + </w:t>
            </w:r>
            <w:proofErr w:type="spellStart"/>
            <w:r w:rsidRPr="00656C31">
              <w:rPr>
                <w:sz w:val="18"/>
                <w:szCs w:val="18"/>
              </w:rPr>
              <w:t>kinddosering</w:t>
            </w:r>
            <w:proofErr w:type="spellEnd"/>
            <w:r w:rsidRPr="00656C31">
              <w:rPr>
                <w:sz w:val="18"/>
                <w:szCs w:val="18"/>
              </w:rPr>
              <w:t xml:space="preserve"> ik heb de zetpillen toegevoegd; kinderdoseringen niet; NHG geeft bij acute diarree aan, dat er </w:t>
            </w:r>
            <w:r w:rsidR="00BC0C52" w:rsidRPr="00656C31">
              <w:rPr>
                <w:sz w:val="18"/>
                <w:szCs w:val="18"/>
              </w:rPr>
              <w:t>ernstige</w:t>
            </w:r>
            <w:r w:rsidRPr="00656C31">
              <w:rPr>
                <w:sz w:val="18"/>
                <w:szCs w:val="18"/>
              </w:rPr>
              <w:t xml:space="preserve"> bijwerkingen kunnen optreden, FK zegt: 2e lijn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4-12-2018</w:t>
            </w:r>
          </w:p>
        </w:tc>
      </w:tr>
      <w:tr w:rsidR="00656C31" w:rsidTr="00721248">
        <w:tc>
          <w:tcPr>
            <w:tcW w:w="3513" w:type="dxa"/>
          </w:tcPr>
          <w:p w:rsidR="00656C31" w:rsidRDefault="00656C31" w:rsidP="0072124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66FDF">
              <w:rPr>
                <w:sz w:val="18"/>
                <w:szCs w:val="18"/>
              </w:rPr>
              <w:t>Gonorrhoe</w:t>
            </w:r>
            <w:proofErr w:type="spellEnd"/>
            <w:r w:rsidRPr="00A66FDF">
              <w:rPr>
                <w:sz w:val="18"/>
                <w:szCs w:val="18"/>
              </w:rPr>
              <w:t xml:space="preserve"> man ICPC Y71.00. Behandeling in Prescriptor is volgens NHG. Echter, toen ik het voorschreef bleek er niet automatisch een </w:t>
            </w:r>
            <w:proofErr w:type="spellStart"/>
            <w:r w:rsidRPr="00A66FDF">
              <w:rPr>
                <w:sz w:val="18"/>
                <w:szCs w:val="18"/>
              </w:rPr>
              <w:t>solvens</w:t>
            </w:r>
            <w:proofErr w:type="spellEnd"/>
            <w:r w:rsidRPr="00A66FDF">
              <w:rPr>
                <w:sz w:val="18"/>
                <w:szCs w:val="18"/>
              </w:rPr>
              <w:t xml:space="preserve"> bij te zitten. Dus dat moest achteraf nog gehaald worden</w:t>
            </w:r>
          </w:p>
        </w:tc>
        <w:tc>
          <w:tcPr>
            <w:tcW w:w="4562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 w:rsidRPr="001255B2">
              <w:rPr>
                <w:sz w:val="18"/>
                <w:szCs w:val="18"/>
              </w:rPr>
              <w:t xml:space="preserve">1% lidocaïne </w:t>
            </w:r>
            <w:r>
              <w:rPr>
                <w:sz w:val="18"/>
                <w:szCs w:val="18"/>
              </w:rPr>
              <w:t>toegevoegd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4-12-2018</w:t>
            </w:r>
          </w:p>
        </w:tc>
      </w:tr>
      <w:tr w:rsidR="00656C31" w:rsidTr="00721248">
        <w:tc>
          <w:tcPr>
            <w:tcW w:w="3513" w:type="dxa"/>
          </w:tcPr>
          <w:p w:rsidR="00656C31" w:rsidRDefault="00656C31" w:rsidP="0072124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255B2">
              <w:rPr>
                <w:sz w:val="18"/>
                <w:szCs w:val="18"/>
              </w:rPr>
              <w:t xml:space="preserve">Bij diagnose </w:t>
            </w:r>
            <w:proofErr w:type="spellStart"/>
            <w:r w:rsidRPr="001255B2">
              <w:rPr>
                <w:sz w:val="18"/>
                <w:szCs w:val="18"/>
              </w:rPr>
              <w:t>onychomycose</w:t>
            </w:r>
            <w:proofErr w:type="spellEnd"/>
            <w:r w:rsidRPr="001255B2">
              <w:rPr>
                <w:sz w:val="18"/>
                <w:szCs w:val="18"/>
              </w:rPr>
              <w:t xml:space="preserve">: toevoegen keuze voor 30 st </w:t>
            </w:r>
            <w:proofErr w:type="spellStart"/>
            <w:r w:rsidRPr="001255B2">
              <w:rPr>
                <w:sz w:val="18"/>
                <w:szCs w:val="18"/>
              </w:rPr>
              <w:t>lamisil</w:t>
            </w:r>
            <w:proofErr w:type="spellEnd"/>
            <w:r w:rsidRPr="001255B2">
              <w:rPr>
                <w:sz w:val="18"/>
                <w:szCs w:val="18"/>
              </w:rPr>
              <w:t xml:space="preserve"> </w:t>
            </w:r>
            <w:proofErr w:type="spellStart"/>
            <w:r w:rsidRPr="001255B2">
              <w:rPr>
                <w:sz w:val="18"/>
                <w:szCs w:val="18"/>
              </w:rPr>
              <w:t>ipv</w:t>
            </w:r>
            <w:proofErr w:type="spellEnd"/>
            <w:r w:rsidRPr="001255B2">
              <w:rPr>
                <w:sz w:val="18"/>
                <w:szCs w:val="18"/>
              </w:rPr>
              <w:t xml:space="preserve"> alleen optie 15 st; </w:t>
            </w:r>
          </w:p>
        </w:tc>
        <w:tc>
          <w:tcPr>
            <w:tcW w:w="4562" w:type="dxa"/>
          </w:tcPr>
          <w:p w:rsidR="00656C31" w:rsidRDefault="00656C31" w:rsidP="00656C31">
            <w:pPr>
              <w:rPr>
                <w:sz w:val="18"/>
                <w:szCs w:val="18"/>
              </w:rPr>
            </w:pPr>
            <w:r w:rsidRPr="001255B2">
              <w:rPr>
                <w:sz w:val="18"/>
                <w:szCs w:val="18"/>
              </w:rPr>
              <w:t xml:space="preserve">15 stuks </w:t>
            </w:r>
            <w:r>
              <w:rPr>
                <w:sz w:val="18"/>
                <w:szCs w:val="18"/>
              </w:rPr>
              <w:t>en</w:t>
            </w:r>
            <w:r w:rsidRPr="001255B2">
              <w:rPr>
                <w:sz w:val="18"/>
                <w:szCs w:val="18"/>
              </w:rPr>
              <w:t xml:space="preserve">  90 stuks</w:t>
            </w:r>
            <w:r>
              <w:rPr>
                <w:sz w:val="18"/>
                <w:szCs w:val="18"/>
              </w:rPr>
              <w:t xml:space="preserve"> opgenomen 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4-11-2018</w:t>
            </w:r>
          </w:p>
        </w:tc>
      </w:tr>
      <w:tr w:rsidR="00656C31" w:rsidTr="00721248">
        <w:tc>
          <w:tcPr>
            <w:tcW w:w="3513" w:type="dxa"/>
          </w:tcPr>
          <w:p w:rsidR="00656C31" w:rsidRPr="007D6A53" w:rsidRDefault="00656C31" w:rsidP="0072124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D6A53">
              <w:rPr>
                <w:sz w:val="18"/>
                <w:szCs w:val="18"/>
              </w:rPr>
              <w:t>D93 prikkelbare darm syndroom: spelfout en geen recept gekoppeld</w:t>
            </w:r>
          </w:p>
        </w:tc>
        <w:tc>
          <w:tcPr>
            <w:tcW w:w="4562" w:type="dxa"/>
          </w:tcPr>
          <w:p w:rsidR="00656C31" w:rsidRPr="007D6A53" w:rsidRDefault="00656C31" w:rsidP="00721248">
            <w:pPr>
              <w:rPr>
                <w:sz w:val="18"/>
                <w:szCs w:val="18"/>
              </w:rPr>
            </w:pPr>
            <w:r w:rsidRPr="00656C31">
              <w:rPr>
                <w:sz w:val="18"/>
                <w:szCs w:val="18"/>
              </w:rPr>
              <w:t>4-12-2018: loperamide en pepermuntolie toegevoegd; en document met stukje niet-medicamenteuze be</w:t>
            </w:r>
            <w:r>
              <w:rPr>
                <w:sz w:val="18"/>
                <w:szCs w:val="18"/>
              </w:rPr>
              <w:t>handeling</w:t>
            </w:r>
            <w:r w:rsidR="00BC0C52">
              <w:rPr>
                <w:sz w:val="18"/>
                <w:szCs w:val="18"/>
              </w:rPr>
              <w:t xml:space="preserve">. NHG-standaard over </w:t>
            </w:r>
            <w:r w:rsidRPr="00656C31">
              <w:rPr>
                <w:sz w:val="18"/>
                <w:szCs w:val="18"/>
              </w:rPr>
              <w:t>o.a. pepermuntolie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4-11-2018</w:t>
            </w:r>
          </w:p>
        </w:tc>
      </w:tr>
      <w:tr w:rsidR="00656C31" w:rsidTr="00721248">
        <w:tc>
          <w:tcPr>
            <w:tcW w:w="3513" w:type="dxa"/>
          </w:tcPr>
          <w:p w:rsidR="00656C31" w:rsidRPr="007D6A53" w:rsidRDefault="00656C31" w:rsidP="0072124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D6A53">
              <w:rPr>
                <w:sz w:val="18"/>
                <w:szCs w:val="18"/>
              </w:rPr>
              <w:t xml:space="preserve">Prescriptor Heuvelland geeft geen recept bij Erythrasma S76.02. </w:t>
            </w:r>
            <w:proofErr w:type="spellStart"/>
            <w:r w:rsidRPr="007D6A53">
              <w:rPr>
                <w:sz w:val="18"/>
                <w:szCs w:val="18"/>
              </w:rPr>
              <w:t>Vlgs</w:t>
            </w:r>
            <w:proofErr w:type="spellEnd"/>
            <w:r w:rsidRPr="007D6A53">
              <w:rPr>
                <w:sz w:val="18"/>
                <w:szCs w:val="18"/>
              </w:rPr>
              <w:t xml:space="preserve"> thuisarts en NHG kunnen zowel </w:t>
            </w:r>
            <w:proofErr w:type="spellStart"/>
            <w:r w:rsidRPr="007D6A53">
              <w:rPr>
                <w:sz w:val="18"/>
                <w:szCs w:val="18"/>
              </w:rPr>
              <w:t>miconazol</w:t>
            </w:r>
            <w:proofErr w:type="spellEnd"/>
            <w:r w:rsidRPr="007D6A53">
              <w:rPr>
                <w:sz w:val="18"/>
                <w:szCs w:val="18"/>
              </w:rPr>
              <w:t xml:space="preserve"> als </w:t>
            </w:r>
            <w:proofErr w:type="spellStart"/>
            <w:r w:rsidRPr="007D6A53">
              <w:rPr>
                <w:sz w:val="18"/>
                <w:szCs w:val="18"/>
              </w:rPr>
              <w:t>fucidinecreme</w:t>
            </w:r>
            <w:proofErr w:type="spellEnd"/>
            <w:r w:rsidRPr="007D6A53">
              <w:rPr>
                <w:sz w:val="18"/>
                <w:szCs w:val="18"/>
              </w:rPr>
              <w:t xml:space="preserve"> voorgeschreven worden. Graag toevoegen.</w:t>
            </w:r>
          </w:p>
        </w:tc>
        <w:tc>
          <w:tcPr>
            <w:tcW w:w="4562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 w:rsidRPr="00656C31">
              <w:rPr>
                <w:sz w:val="18"/>
                <w:szCs w:val="18"/>
              </w:rPr>
              <w:t xml:space="preserve">ik heb de indicatie toegevoegd en de </w:t>
            </w:r>
            <w:r w:rsidR="00BC0C52" w:rsidRPr="00656C31">
              <w:rPr>
                <w:sz w:val="18"/>
                <w:szCs w:val="18"/>
              </w:rPr>
              <w:t>crèmes</w:t>
            </w:r>
            <w:r w:rsidRPr="00656C31">
              <w:rPr>
                <w:sz w:val="18"/>
                <w:szCs w:val="18"/>
              </w:rPr>
              <w:t xml:space="preserve"> en ook 1x1000mg claritromycine </w:t>
            </w:r>
            <w:proofErr w:type="spellStart"/>
            <w:r w:rsidRPr="00656C31">
              <w:rPr>
                <w:sz w:val="18"/>
                <w:szCs w:val="18"/>
              </w:rPr>
              <w:t>vlgs</w:t>
            </w:r>
            <w:proofErr w:type="spellEnd"/>
            <w:r w:rsidRPr="00656C31">
              <w:rPr>
                <w:sz w:val="18"/>
                <w:szCs w:val="18"/>
              </w:rPr>
              <w:t xml:space="preserve"> NHG standaard.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4-12-2018</w:t>
            </w:r>
          </w:p>
        </w:tc>
      </w:tr>
      <w:tr w:rsidR="00656C31" w:rsidTr="00721248">
        <w:tc>
          <w:tcPr>
            <w:tcW w:w="3513" w:type="dxa"/>
          </w:tcPr>
          <w:p w:rsidR="00656C31" w:rsidRPr="007D6A53" w:rsidRDefault="00656C31" w:rsidP="00656C3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656C31">
              <w:rPr>
                <w:sz w:val="18"/>
                <w:szCs w:val="18"/>
              </w:rPr>
              <w:t>ICPC T86:</w:t>
            </w:r>
            <w:r>
              <w:rPr>
                <w:sz w:val="18"/>
                <w:szCs w:val="18"/>
              </w:rPr>
              <w:t xml:space="preserve"> staat een 2 tal doseringen in 1 recept</w:t>
            </w:r>
          </w:p>
        </w:tc>
        <w:tc>
          <w:tcPr>
            <w:tcW w:w="4562" w:type="dxa"/>
          </w:tcPr>
          <w:p w:rsidR="00656C31" w:rsidRP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aangepast 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4-12-2018</w:t>
            </w:r>
          </w:p>
        </w:tc>
      </w:tr>
      <w:tr w:rsidR="00656C31" w:rsidTr="00721248">
        <w:tc>
          <w:tcPr>
            <w:tcW w:w="3513" w:type="dxa"/>
          </w:tcPr>
          <w:p w:rsidR="00656C31" w:rsidRPr="00656C31" w:rsidRDefault="00656C31" w:rsidP="00656C3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56C31">
              <w:rPr>
                <w:sz w:val="18"/>
                <w:szCs w:val="18"/>
              </w:rPr>
              <w:t>Hypothyreoidie</w:t>
            </w:r>
            <w:proofErr w:type="spellEnd"/>
            <w:r w:rsidRPr="00656C31">
              <w:rPr>
                <w:sz w:val="18"/>
                <w:szCs w:val="18"/>
              </w:rPr>
              <w:t xml:space="preserve"> alle doseringen toevoegen, dus levothyroxine: 25, 50, 75, 88, 100, 112, 125, 137, 150.</w:t>
            </w:r>
          </w:p>
          <w:p w:rsidR="00656C31" w:rsidRPr="00656C31" w:rsidRDefault="00656C31" w:rsidP="00656C31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656C31">
              <w:rPr>
                <w:sz w:val="18"/>
                <w:szCs w:val="18"/>
              </w:rPr>
              <w:t>Met 1 dosering zoals het er nu staat, kom je niet uit.</w:t>
            </w:r>
          </w:p>
        </w:tc>
        <w:tc>
          <w:tcPr>
            <w:tcW w:w="4562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aangepast </w:t>
            </w:r>
          </w:p>
        </w:tc>
        <w:tc>
          <w:tcPr>
            <w:tcW w:w="1701" w:type="dxa"/>
          </w:tcPr>
          <w:p w:rsidR="00656C31" w:rsidRDefault="00656C31" w:rsidP="00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4-12-2018</w:t>
            </w:r>
          </w:p>
        </w:tc>
      </w:tr>
      <w:tr w:rsidR="0051293F" w:rsidTr="00721248">
        <w:tc>
          <w:tcPr>
            <w:tcW w:w="3513" w:type="dxa"/>
          </w:tcPr>
          <w:p w:rsidR="0051293F" w:rsidRPr="00F12047" w:rsidRDefault="0051293F" w:rsidP="00656C3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Mira HIS vraagt soms naar reden van voorschrijven; waarom wordt dit getoond?</w:t>
            </w:r>
          </w:p>
        </w:tc>
        <w:tc>
          <w:tcPr>
            <w:tcW w:w="4562" w:type="dxa"/>
          </w:tcPr>
          <w:p w:rsidR="0051293F" w:rsidRPr="00F12047" w:rsidRDefault="0051293F" w:rsidP="0051293F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Dit heeft te maken met:  </w:t>
            </w:r>
            <w:hyperlink r:id="rId5" w:history="1">
              <w:r w:rsidRPr="00F12047">
                <w:rPr>
                  <w:rStyle w:val="Hyperlink"/>
                  <w:color w:val="auto"/>
                  <w:sz w:val="18"/>
                  <w:szCs w:val="18"/>
                </w:rPr>
                <w:t>http://www.pw.nl/achtergrond/2011/lijst-geneesmiddelen-met-verplichting-indicatie-op-recept</w:t>
              </w:r>
            </w:hyperlink>
            <w:r w:rsidRPr="00F12047">
              <w:rPr>
                <w:sz w:val="18"/>
                <w:szCs w:val="18"/>
              </w:rPr>
              <w:t xml:space="preserve"> </w:t>
            </w:r>
          </w:p>
          <w:p w:rsidR="0051293F" w:rsidRPr="00F12047" w:rsidRDefault="0051293F" w:rsidP="0051293F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Dat is een inhoudelijke kwestie die is ook verwerkt in de Z-index, Prescriptor dient dat zo te faciliteren onafhankelijk hoe/via welke ICPC de arts voorschrijft.</w:t>
            </w:r>
          </w:p>
        </w:tc>
        <w:tc>
          <w:tcPr>
            <w:tcW w:w="1701" w:type="dxa"/>
          </w:tcPr>
          <w:p w:rsidR="0051293F" w:rsidRPr="00F12047" w:rsidRDefault="0051293F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Januari 2019</w:t>
            </w:r>
          </w:p>
        </w:tc>
      </w:tr>
      <w:tr w:rsidR="0051293F" w:rsidTr="00721248">
        <w:tc>
          <w:tcPr>
            <w:tcW w:w="3513" w:type="dxa"/>
          </w:tcPr>
          <w:p w:rsidR="00597574" w:rsidRPr="00F12047" w:rsidRDefault="00597574" w:rsidP="00A259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Bij aanval </w:t>
            </w:r>
            <w:proofErr w:type="spellStart"/>
            <w:r w:rsidRPr="00F12047">
              <w:rPr>
                <w:sz w:val="18"/>
                <w:szCs w:val="18"/>
              </w:rPr>
              <w:t>cholecystolithiasis</w:t>
            </w:r>
            <w:proofErr w:type="spellEnd"/>
            <w:r w:rsidRPr="00F12047">
              <w:rPr>
                <w:sz w:val="18"/>
                <w:szCs w:val="18"/>
              </w:rPr>
              <w:t xml:space="preserve"> staat nu bij </w:t>
            </w:r>
            <w:proofErr w:type="spellStart"/>
            <w:r w:rsidRPr="00F12047">
              <w:rPr>
                <w:sz w:val="18"/>
                <w:szCs w:val="18"/>
              </w:rPr>
              <w:t>diclofenac</w:t>
            </w:r>
            <w:proofErr w:type="spellEnd"/>
            <w:r w:rsidRPr="00F12047">
              <w:rPr>
                <w:sz w:val="18"/>
                <w:szCs w:val="18"/>
              </w:rPr>
              <w:t xml:space="preserve"> rectaal gebruik 2ddaags 1 zetpil, 15 stuks.</w:t>
            </w:r>
          </w:p>
          <w:p w:rsidR="0051293F" w:rsidRPr="00F12047" w:rsidRDefault="00597574" w:rsidP="00A2591D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Gebruikelijk is om bij deze indicatie </w:t>
            </w:r>
            <w:proofErr w:type="spellStart"/>
            <w:r w:rsidRPr="00F12047">
              <w:rPr>
                <w:sz w:val="18"/>
                <w:szCs w:val="18"/>
              </w:rPr>
              <w:t>diclofenac</w:t>
            </w:r>
            <w:proofErr w:type="spellEnd"/>
            <w:r w:rsidRPr="00F12047">
              <w:rPr>
                <w:sz w:val="18"/>
                <w:szCs w:val="18"/>
              </w:rPr>
              <w:t xml:space="preserve"> </w:t>
            </w:r>
            <w:proofErr w:type="spellStart"/>
            <w:r w:rsidRPr="00F12047">
              <w:rPr>
                <w:sz w:val="18"/>
                <w:szCs w:val="18"/>
              </w:rPr>
              <w:t>suppo</w:t>
            </w:r>
            <w:proofErr w:type="spellEnd"/>
            <w:r w:rsidRPr="00F12047">
              <w:rPr>
                <w:sz w:val="18"/>
                <w:szCs w:val="18"/>
              </w:rPr>
              <w:t xml:space="preserve"> 2d1suppo zo</w:t>
            </w:r>
            <w:r w:rsidR="00A2591D" w:rsidRPr="00F12047">
              <w:rPr>
                <w:sz w:val="18"/>
                <w:szCs w:val="18"/>
              </w:rPr>
              <w:t xml:space="preserve"> </w:t>
            </w:r>
            <w:r w:rsidRPr="00F12047">
              <w:rPr>
                <w:sz w:val="18"/>
                <w:szCs w:val="18"/>
              </w:rPr>
              <w:t>nodig 6 stuks te geven.</w:t>
            </w:r>
          </w:p>
        </w:tc>
        <w:tc>
          <w:tcPr>
            <w:tcW w:w="4562" w:type="dxa"/>
          </w:tcPr>
          <w:p w:rsidR="0051293F" w:rsidRPr="00F12047" w:rsidRDefault="00A2591D" w:rsidP="0051293F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Is aangepast </w:t>
            </w:r>
          </w:p>
        </w:tc>
        <w:tc>
          <w:tcPr>
            <w:tcW w:w="1701" w:type="dxa"/>
          </w:tcPr>
          <w:p w:rsidR="0051293F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Januari 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A2591D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Waarom bij een otitis </w:t>
            </w:r>
          </w:p>
          <w:p w:rsidR="00A2591D" w:rsidRPr="00F12047" w:rsidRDefault="00A2591D" w:rsidP="00A2591D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externa de keus voor een antibacterieel middel (</w:t>
            </w:r>
            <w:proofErr w:type="spellStart"/>
            <w:r w:rsidRPr="00F12047">
              <w:rPr>
                <w:sz w:val="18"/>
                <w:szCs w:val="18"/>
              </w:rPr>
              <w:t>bacicoline</w:t>
            </w:r>
            <w:proofErr w:type="spellEnd"/>
            <w:r w:rsidRPr="00F12047">
              <w:rPr>
                <w:sz w:val="18"/>
                <w:szCs w:val="18"/>
              </w:rPr>
              <w:t xml:space="preserve"> B (is </w:t>
            </w:r>
          </w:p>
          <w:p w:rsidR="00A2591D" w:rsidRPr="00F12047" w:rsidRDefault="00A2591D" w:rsidP="00A2591D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lastRenderedPageBreak/>
              <w:t>bovendien uit de handelsvergunning al een tijdje geschorst)?</w:t>
            </w:r>
          </w:p>
          <w:p w:rsidR="00A2591D" w:rsidRPr="00F12047" w:rsidRDefault="00A2591D" w:rsidP="00A2591D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NHG geeft als eerste keus zure oordruppels met hydrocortison.</w:t>
            </w:r>
          </w:p>
        </w:tc>
        <w:tc>
          <w:tcPr>
            <w:tcW w:w="4562" w:type="dxa"/>
          </w:tcPr>
          <w:p w:rsidR="00A2591D" w:rsidRPr="00F12047" w:rsidRDefault="00A2591D" w:rsidP="00A2591D">
            <w:pPr>
              <w:rPr>
                <w:sz w:val="18"/>
                <w:szCs w:val="18"/>
              </w:rPr>
            </w:pPr>
            <w:proofErr w:type="spellStart"/>
            <w:r w:rsidRPr="00F12047">
              <w:rPr>
                <w:sz w:val="18"/>
                <w:szCs w:val="18"/>
              </w:rPr>
              <w:lastRenderedPageBreak/>
              <w:t>Bacicoline</w:t>
            </w:r>
            <w:proofErr w:type="spellEnd"/>
            <w:r w:rsidRPr="00F12047">
              <w:rPr>
                <w:sz w:val="18"/>
                <w:szCs w:val="18"/>
              </w:rPr>
              <w:t xml:space="preserve"> is niet leverbaar is er uit. Azijnzuur met hydrocortison en azijnzuur met </w:t>
            </w:r>
            <w:proofErr w:type="spellStart"/>
            <w:r w:rsidRPr="00F12047">
              <w:rPr>
                <w:sz w:val="18"/>
                <w:szCs w:val="18"/>
              </w:rPr>
              <w:t>triamcinolon</w:t>
            </w:r>
            <w:proofErr w:type="spellEnd"/>
            <w:r w:rsidRPr="00F12047">
              <w:rPr>
                <w:sz w:val="18"/>
                <w:szCs w:val="18"/>
              </w:rPr>
              <w:t xml:space="preserve"> staan erin. Bij </w:t>
            </w:r>
            <w:r w:rsidRPr="00F12047">
              <w:rPr>
                <w:sz w:val="18"/>
                <w:szCs w:val="18"/>
              </w:rPr>
              <w:lastRenderedPageBreak/>
              <w:t xml:space="preserve">een loopoor (trommelvlies perforatie of </w:t>
            </w:r>
            <w:proofErr w:type="spellStart"/>
            <w:r w:rsidRPr="00F12047">
              <w:rPr>
                <w:sz w:val="18"/>
                <w:szCs w:val="18"/>
              </w:rPr>
              <w:t>oorbuisjes</w:t>
            </w:r>
            <w:proofErr w:type="spellEnd"/>
            <w:r w:rsidRPr="00F12047">
              <w:rPr>
                <w:sz w:val="18"/>
                <w:szCs w:val="18"/>
              </w:rPr>
              <w:t xml:space="preserve">) kan </w:t>
            </w:r>
            <w:proofErr w:type="spellStart"/>
            <w:r w:rsidRPr="00F12047">
              <w:rPr>
                <w:sz w:val="18"/>
                <w:szCs w:val="18"/>
              </w:rPr>
              <w:t>sofradex</w:t>
            </w:r>
            <w:proofErr w:type="spellEnd"/>
            <w:r w:rsidRPr="00F12047">
              <w:rPr>
                <w:sz w:val="18"/>
                <w:szCs w:val="18"/>
              </w:rPr>
              <w:t xml:space="preserve"> worden voorgeschreven.</w:t>
            </w:r>
          </w:p>
        </w:tc>
        <w:tc>
          <w:tcPr>
            <w:tcW w:w="1701" w:type="dxa"/>
          </w:tcPr>
          <w:p w:rsidR="00A2591D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lastRenderedPageBreak/>
              <w:t>Januari 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A2591D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12047">
              <w:rPr>
                <w:sz w:val="18"/>
                <w:szCs w:val="18"/>
              </w:rPr>
              <w:t>ferrofumaraat</w:t>
            </w:r>
            <w:proofErr w:type="spellEnd"/>
            <w:r w:rsidRPr="00F12047">
              <w:rPr>
                <w:sz w:val="18"/>
                <w:szCs w:val="18"/>
              </w:rPr>
              <w:t xml:space="preserve"> recept in </w:t>
            </w:r>
            <w:proofErr w:type="spellStart"/>
            <w:r w:rsidRPr="00F12047">
              <w:rPr>
                <w:sz w:val="18"/>
                <w:szCs w:val="18"/>
              </w:rPr>
              <w:t>prescriptor</w:t>
            </w:r>
            <w:proofErr w:type="spellEnd"/>
            <w:r w:rsidRPr="00F12047">
              <w:rPr>
                <w:sz w:val="18"/>
                <w:szCs w:val="18"/>
              </w:rPr>
              <w:t xml:space="preserve"> staat 3x na het ontbijt: is vreemd </w:t>
            </w:r>
          </w:p>
        </w:tc>
        <w:tc>
          <w:tcPr>
            <w:tcW w:w="4562" w:type="dxa"/>
          </w:tcPr>
          <w:p w:rsidR="00A2591D" w:rsidRPr="00F12047" w:rsidRDefault="00A2591D" w:rsidP="00A2591D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Is aangepast</w:t>
            </w:r>
          </w:p>
        </w:tc>
        <w:tc>
          <w:tcPr>
            <w:tcW w:w="1701" w:type="dxa"/>
          </w:tcPr>
          <w:p w:rsidR="00A2591D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31-1-2019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A2591D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Vervuilde </w:t>
            </w:r>
            <w:proofErr w:type="spellStart"/>
            <w:r w:rsidRPr="00F12047">
              <w:rPr>
                <w:sz w:val="18"/>
                <w:szCs w:val="18"/>
              </w:rPr>
              <w:t>Valsartan</w:t>
            </w:r>
            <w:proofErr w:type="spellEnd"/>
          </w:p>
        </w:tc>
        <w:tc>
          <w:tcPr>
            <w:tcW w:w="4562" w:type="dxa"/>
          </w:tcPr>
          <w:p w:rsidR="00A2591D" w:rsidRPr="00F12047" w:rsidRDefault="00A2591D" w:rsidP="00F12047">
            <w:pPr>
              <w:rPr>
                <w:sz w:val="18"/>
                <w:szCs w:val="18"/>
              </w:rPr>
            </w:pPr>
            <w:proofErr w:type="spellStart"/>
            <w:r w:rsidRPr="00F12047">
              <w:rPr>
                <w:sz w:val="18"/>
                <w:szCs w:val="18"/>
              </w:rPr>
              <w:t>Valsartan</w:t>
            </w:r>
            <w:proofErr w:type="spellEnd"/>
            <w:r w:rsidRPr="00F12047">
              <w:rPr>
                <w:sz w:val="18"/>
                <w:szCs w:val="18"/>
              </w:rPr>
              <w:t xml:space="preserve"> blijft staan (is op dit moment veilig)  en omrekentabel van </w:t>
            </w:r>
            <w:proofErr w:type="spellStart"/>
            <w:r w:rsidRPr="00F12047">
              <w:rPr>
                <w:sz w:val="18"/>
                <w:szCs w:val="18"/>
              </w:rPr>
              <w:t>sartanen</w:t>
            </w:r>
            <w:proofErr w:type="spellEnd"/>
            <w:r w:rsidRPr="00F12047">
              <w:rPr>
                <w:sz w:val="18"/>
                <w:szCs w:val="18"/>
              </w:rPr>
              <w:t xml:space="preserve"> en ACE remmers </w:t>
            </w:r>
            <w:r w:rsidR="00F12047">
              <w:rPr>
                <w:sz w:val="18"/>
                <w:szCs w:val="18"/>
              </w:rPr>
              <w:t>zijn verwerkt</w:t>
            </w:r>
            <w:r w:rsidRPr="00F12047">
              <w:rPr>
                <w:sz w:val="18"/>
                <w:szCs w:val="18"/>
              </w:rPr>
              <w:t xml:space="preserve"> in Prescriptor. + uitleg document</w:t>
            </w:r>
          </w:p>
        </w:tc>
        <w:tc>
          <w:tcPr>
            <w:tcW w:w="1701" w:type="dxa"/>
          </w:tcPr>
          <w:p w:rsidR="00A2591D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Februari 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A2591D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Bij beet van mens dier staat in de </w:t>
            </w:r>
            <w:proofErr w:type="spellStart"/>
            <w:r w:rsidRPr="00F12047">
              <w:rPr>
                <w:sz w:val="18"/>
                <w:szCs w:val="18"/>
              </w:rPr>
              <w:t>prescriptor</w:t>
            </w:r>
            <w:proofErr w:type="spellEnd"/>
            <w:r w:rsidRPr="00F12047">
              <w:rPr>
                <w:sz w:val="18"/>
                <w:szCs w:val="18"/>
              </w:rPr>
              <w:t xml:space="preserve"> Heuvelland als eerste keus </w:t>
            </w:r>
            <w:proofErr w:type="spellStart"/>
            <w:r w:rsidRPr="00F12047">
              <w:rPr>
                <w:sz w:val="18"/>
                <w:szCs w:val="18"/>
              </w:rPr>
              <w:t>doxy</w:t>
            </w:r>
            <w:proofErr w:type="spellEnd"/>
            <w:r w:rsidRPr="00F12047">
              <w:rPr>
                <w:sz w:val="18"/>
                <w:szCs w:val="18"/>
              </w:rPr>
              <w:t xml:space="preserve">. Dat moet </w:t>
            </w:r>
            <w:proofErr w:type="spellStart"/>
            <w:r w:rsidRPr="00F12047">
              <w:rPr>
                <w:sz w:val="18"/>
                <w:szCs w:val="18"/>
              </w:rPr>
              <w:t>amox</w:t>
            </w:r>
            <w:proofErr w:type="spellEnd"/>
            <w:r w:rsidRPr="00F12047">
              <w:rPr>
                <w:sz w:val="18"/>
                <w:szCs w:val="18"/>
              </w:rPr>
              <w:t xml:space="preserve"> </w:t>
            </w:r>
            <w:proofErr w:type="spellStart"/>
            <w:r w:rsidRPr="00F12047">
              <w:rPr>
                <w:sz w:val="18"/>
                <w:szCs w:val="18"/>
              </w:rPr>
              <w:t>clav</w:t>
            </w:r>
            <w:proofErr w:type="spellEnd"/>
            <w:r w:rsidRPr="00F12047">
              <w:rPr>
                <w:sz w:val="18"/>
                <w:szCs w:val="18"/>
              </w:rPr>
              <w:t xml:space="preserve"> zijn </w:t>
            </w:r>
            <w:proofErr w:type="spellStart"/>
            <w:r w:rsidRPr="00F12047">
              <w:rPr>
                <w:sz w:val="18"/>
                <w:szCs w:val="18"/>
              </w:rPr>
              <w:t>cf</w:t>
            </w:r>
            <w:proofErr w:type="spellEnd"/>
            <w:r w:rsidRPr="00F12047">
              <w:rPr>
                <w:sz w:val="18"/>
                <w:szCs w:val="18"/>
              </w:rPr>
              <w:t xml:space="preserve"> NHG. (staat nu als tweede keus.)</w:t>
            </w:r>
          </w:p>
        </w:tc>
        <w:tc>
          <w:tcPr>
            <w:tcW w:w="4562" w:type="dxa"/>
          </w:tcPr>
          <w:p w:rsidR="00A2591D" w:rsidRPr="00F12047" w:rsidRDefault="00A2591D" w:rsidP="00A2591D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Is aangepast </w:t>
            </w:r>
          </w:p>
        </w:tc>
        <w:tc>
          <w:tcPr>
            <w:tcW w:w="1701" w:type="dxa"/>
          </w:tcPr>
          <w:p w:rsidR="00A2591D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Februari 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A2591D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Bij R81 pneumonie staat nu claritromycine (</w:t>
            </w:r>
            <w:proofErr w:type="spellStart"/>
            <w:r w:rsidRPr="00F12047">
              <w:rPr>
                <w:sz w:val="18"/>
                <w:szCs w:val="18"/>
              </w:rPr>
              <w:t>Klacid</w:t>
            </w:r>
            <w:proofErr w:type="spellEnd"/>
            <w:r w:rsidRPr="00F12047">
              <w:rPr>
                <w:sz w:val="18"/>
                <w:szCs w:val="18"/>
              </w:rPr>
              <w:t xml:space="preserve">)  als eerste keus </w:t>
            </w:r>
            <w:proofErr w:type="spellStart"/>
            <w:r w:rsidRPr="00F12047">
              <w:rPr>
                <w:sz w:val="18"/>
                <w:szCs w:val="18"/>
              </w:rPr>
              <w:t>ipv</w:t>
            </w:r>
            <w:proofErr w:type="spellEnd"/>
            <w:r w:rsidRPr="00F12047">
              <w:rPr>
                <w:sz w:val="18"/>
                <w:szCs w:val="18"/>
              </w:rPr>
              <w:t xml:space="preserve"> </w:t>
            </w:r>
            <w:proofErr w:type="spellStart"/>
            <w:r w:rsidRPr="00F12047">
              <w:rPr>
                <w:sz w:val="18"/>
                <w:szCs w:val="18"/>
              </w:rPr>
              <w:t>amoxy</w:t>
            </w:r>
            <w:proofErr w:type="spellEnd"/>
            <w:r w:rsidRPr="00F12047">
              <w:rPr>
                <w:sz w:val="18"/>
                <w:szCs w:val="18"/>
              </w:rPr>
              <w:t xml:space="preserve"> Dat verbaast mij.</w:t>
            </w:r>
          </w:p>
        </w:tc>
        <w:tc>
          <w:tcPr>
            <w:tcW w:w="4562" w:type="dxa"/>
          </w:tcPr>
          <w:p w:rsidR="00A2591D" w:rsidRPr="00F12047" w:rsidRDefault="00A2591D" w:rsidP="00A2591D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Is aangepast </w:t>
            </w:r>
          </w:p>
        </w:tc>
        <w:tc>
          <w:tcPr>
            <w:tcW w:w="1701" w:type="dxa"/>
          </w:tcPr>
          <w:p w:rsidR="00A2591D" w:rsidRPr="00F12047" w:rsidRDefault="00A2591D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Februari 2019</w:t>
            </w:r>
          </w:p>
        </w:tc>
      </w:tr>
      <w:tr w:rsidR="00A2591D" w:rsidTr="00721248">
        <w:tc>
          <w:tcPr>
            <w:tcW w:w="3513" w:type="dxa"/>
          </w:tcPr>
          <w:p w:rsidR="00A2591D" w:rsidRPr="00F12047" w:rsidRDefault="00317ECA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Zie de tekst van het kinderformularium: preparaten met salicylzuur mogen niet worden voorgeschreven aan mensen &lt;18 </w:t>
            </w:r>
            <w:proofErr w:type="spellStart"/>
            <w:r w:rsidRPr="00F12047">
              <w:rPr>
                <w:sz w:val="18"/>
                <w:szCs w:val="18"/>
              </w:rPr>
              <w:t>jr</w:t>
            </w:r>
            <w:proofErr w:type="spellEnd"/>
          </w:p>
        </w:tc>
        <w:tc>
          <w:tcPr>
            <w:tcW w:w="4562" w:type="dxa"/>
          </w:tcPr>
          <w:p w:rsidR="00A2591D" w:rsidRPr="00F12047" w:rsidRDefault="00317ECA" w:rsidP="00A2591D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collodium met salicylzuur voor wratten is voorzien van de leeftijdsgrens &gt;18jaar en ook de </w:t>
            </w:r>
            <w:proofErr w:type="spellStart"/>
            <w:r w:rsidRPr="00F12047">
              <w:rPr>
                <w:sz w:val="18"/>
                <w:szCs w:val="18"/>
              </w:rPr>
              <w:t>triamcinolon</w:t>
            </w:r>
            <w:proofErr w:type="spellEnd"/>
            <w:r w:rsidRPr="00F12047">
              <w:rPr>
                <w:sz w:val="18"/>
                <w:szCs w:val="18"/>
              </w:rPr>
              <w:t>/salicylzuur lotion heeft nu deze leeftijdsgrens: &gt;18jaar.</w:t>
            </w:r>
          </w:p>
        </w:tc>
        <w:tc>
          <w:tcPr>
            <w:tcW w:w="1701" w:type="dxa"/>
          </w:tcPr>
          <w:p w:rsidR="00A2591D" w:rsidRPr="00F12047" w:rsidRDefault="00317ECA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Februari 2019 </w:t>
            </w:r>
          </w:p>
        </w:tc>
      </w:tr>
      <w:tr w:rsidR="00CF2168" w:rsidTr="00721248">
        <w:tc>
          <w:tcPr>
            <w:tcW w:w="3513" w:type="dxa"/>
          </w:tcPr>
          <w:p w:rsidR="00CF2168" w:rsidRPr="00F12047" w:rsidRDefault="00CF2168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Via </w:t>
            </w:r>
            <w:proofErr w:type="spellStart"/>
            <w:r w:rsidRPr="00F12047">
              <w:rPr>
                <w:sz w:val="18"/>
                <w:szCs w:val="18"/>
              </w:rPr>
              <w:t>prescriptor</w:t>
            </w:r>
            <w:proofErr w:type="spellEnd"/>
            <w:r w:rsidRPr="00F12047">
              <w:rPr>
                <w:sz w:val="18"/>
                <w:szCs w:val="18"/>
              </w:rPr>
              <w:t xml:space="preserve"> kom ik voor tonsillitis uit bij </w:t>
            </w:r>
            <w:proofErr w:type="spellStart"/>
            <w:r w:rsidRPr="00F12047">
              <w:rPr>
                <w:sz w:val="18"/>
                <w:szCs w:val="18"/>
              </w:rPr>
              <w:t>feneticilline</w:t>
            </w:r>
            <w:proofErr w:type="spellEnd"/>
            <w:r w:rsidRPr="00F12047">
              <w:rPr>
                <w:sz w:val="18"/>
                <w:szCs w:val="18"/>
              </w:rPr>
              <w:t xml:space="preserve"> 4x500mg voor 10 dagen.</w:t>
            </w:r>
          </w:p>
          <w:p w:rsidR="00CF2168" w:rsidRPr="00F12047" w:rsidRDefault="00CF2168" w:rsidP="00CF2168">
            <w:pPr>
              <w:pStyle w:val="Lijstalinea"/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Volgens </w:t>
            </w:r>
            <w:proofErr w:type="spellStart"/>
            <w:r w:rsidRPr="00F12047">
              <w:rPr>
                <w:sz w:val="18"/>
                <w:szCs w:val="18"/>
              </w:rPr>
              <w:t>NHGstandaard</w:t>
            </w:r>
            <w:proofErr w:type="spellEnd"/>
            <w:r w:rsidRPr="00F12047">
              <w:rPr>
                <w:sz w:val="18"/>
                <w:szCs w:val="18"/>
              </w:rPr>
              <w:t xml:space="preserve"> voorschrift boven 10jr 3x500mg voor 7 dagen.</w:t>
            </w:r>
          </w:p>
        </w:tc>
        <w:tc>
          <w:tcPr>
            <w:tcW w:w="4562" w:type="dxa"/>
          </w:tcPr>
          <w:p w:rsidR="00CF2168" w:rsidRPr="00F12047" w:rsidRDefault="00CF2168" w:rsidP="00CF216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Aangepast volgens de NHG-standaard: de </w:t>
            </w:r>
            <w:proofErr w:type="spellStart"/>
            <w:r w:rsidRPr="00F12047">
              <w:rPr>
                <w:sz w:val="18"/>
                <w:szCs w:val="18"/>
              </w:rPr>
              <w:t>faryngotonsilitis</w:t>
            </w:r>
            <w:proofErr w:type="spellEnd"/>
            <w:r w:rsidRPr="00F12047">
              <w:rPr>
                <w:sz w:val="18"/>
                <w:szCs w:val="18"/>
              </w:rPr>
              <w:t xml:space="preserve"> is opgezet met de doseringen van het NHG. Tevens is ook het </w:t>
            </w:r>
            <w:proofErr w:type="spellStart"/>
            <w:r w:rsidRPr="00F12047">
              <w:rPr>
                <w:sz w:val="18"/>
                <w:szCs w:val="18"/>
              </w:rPr>
              <w:t>peritonsillair</w:t>
            </w:r>
            <w:proofErr w:type="spellEnd"/>
            <w:r w:rsidRPr="00F12047">
              <w:rPr>
                <w:sz w:val="18"/>
                <w:szCs w:val="18"/>
              </w:rPr>
              <w:t xml:space="preserve"> abces met </w:t>
            </w:r>
            <w:proofErr w:type="spellStart"/>
            <w:r w:rsidRPr="00F12047">
              <w:rPr>
                <w:sz w:val="18"/>
                <w:szCs w:val="18"/>
              </w:rPr>
              <w:t>amoxi</w:t>
            </w:r>
            <w:proofErr w:type="spellEnd"/>
            <w:r w:rsidRPr="00F12047">
              <w:rPr>
                <w:sz w:val="18"/>
                <w:szCs w:val="18"/>
              </w:rPr>
              <w:t>/</w:t>
            </w:r>
            <w:proofErr w:type="spellStart"/>
            <w:r w:rsidRPr="00F12047">
              <w:rPr>
                <w:sz w:val="18"/>
                <w:szCs w:val="18"/>
              </w:rPr>
              <w:t>clav</w:t>
            </w:r>
            <w:proofErr w:type="spellEnd"/>
            <w:r w:rsidRPr="00F12047">
              <w:rPr>
                <w:sz w:val="18"/>
                <w:szCs w:val="18"/>
              </w:rPr>
              <w:t xml:space="preserve"> toegevoegd als aparte indicatie onder de ICPC R76.</w:t>
            </w:r>
          </w:p>
        </w:tc>
        <w:tc>
          <w:tcPr>
            <w:tcW w:w="1701" w:type="dxa"/>
          </w:tcPr>
          <w:p w:rsidR="00CF2168" w:rsidRPr="00F12047" w:rsidRDefault="00CF2168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Februari 2019 </w:t>
            </w:r>
          </w:p>
        </w:tc>
      </w:tr>
      <w:tr w:rsidR="003A44F2" w:rsidTr="00721248">
        <w:tc>
          <w:tcPr>
            <w:tcW w:w="3513" w:type="dxa"/>
          </w:tcPr>
          <w:p w:rsidR="003A44F2" w:rsidRPr="00F12047" w:rsidRDefault="003A44F2" w:rsidP="00CF21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Metformine niet als optie bij DM2</w:t>
            </w:r>
          </w:p>
        </w:tc>
        <w:tc>
          <w:tcPr>
            <w:tcW w:w="4562" w:type="dxa"/>
          </w:tcPr>
          <w:p w:rsidR="003A44F2" w:rsidRPr="00F12047" w:rsidRDefault="003A44F2" w:rsidP="00CF216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 xml:space="preserve">Dit is een tijdelijk probleem geweest en is aangepast </w:t>
            </w:r>
          </w:p>
        </w:tc>
        <w:tc>
          <w:tcPr>
            <w:tcW w:w="1701" w:type="dxa"/>
          </w:tcPr>
          <w:p w:rsidR="003A44F2" w:rsidRPr="00F12047" w:rsidRDefault="003A44F2" w:rsidP="00721248">
            <w:pPr>
              <w:rPr>
                <w:sz w:val="18"/>
                <w:szCs w:val="18"/>
              </w:rPr>
            </w:pPr>
            <w:r w:rsidRPr="00F12047">
              <w:rPr>
                <w:sz w:val="18"/>
                <w:szCs w:val="18"/>
              </w:rPr>
              <w:t>Februari 2019</w:t>
            </w:r>
          </w:p>
        </w:tc>
      </w:tr>
    </w:tbl>
    <w:p w:rsidR="00656C31" w:rsidRDefault="00656C31" w:rsidP="00656C31">
      <w:bookmarkStart w:id="0" w:name="_GoBack"/>
      <w:bookmarkEnd w:id="0"/>
    </w:p>
    <w:p w:rsidR="00656C31" w:rsidRDefault="00656C31"/>
    <w:sectPr w:rsidR="0065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2C6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49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15A62"/>
    <w:multiLevelType w:val="hybridMultilevel"/>
    <w:tmpl w:val="B9CA1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5157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0EDE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73BA"/>
    <w:multiLevelType w:val="hybridMultilevel"/>
    <w:tmpl w:val="5E5AF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1"/>
    <w:rsid w:val="00247278"/>
    <w:rsid w:val="00317ECA"/>
    <w:rsid w:val="003A44F2"/>
    <w:rsid w:val="0051293F"/>
    <w:rsid w:val="00597574"/>
    <w:rsid w:val="00656C31"/>
    <w:rsid w:val="00A2591D"/>
    <w:rsid w:val="00BC0C52"/>
    <w:rsid w:val="00C30D81"/>
    <w:rsid w:val="00CF2168"/>
    <w:rsid w:val="00F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9A8C-6A51-4662-A310-2D5DA9D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6C31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56C3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6C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2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.nl/achtergrond/2011/lijst-geneesmiddelen-met-verplichting-indicatie-op-rece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Organisatienaam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Hazelzet</dc:creator>
  <cp:keywords/>
  <dc:description/>
  <cp:lastModifiedBy>Judith Hazelzet</cp:lastModifiedBy>
  <cp:revision>2</cp:revision>
  <dcterms:created xsi:type="dcterms:W3CDTF">2019-03-13T12:50:00Z</dcterms:created>
  <dcterms:modified xsi:type="dcterms:W3CDTF">2019-03-13T12:50:00Z</dcterms:modified>
</cp:coreProperties>
</file>